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附件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4</w:t>
      </w:r>
      <w:bookmarkStart w:id="0" w:name="_GoBack"/>
      <w:bookmarkEnd w:id="0"/>
    </w:p>
    <w:p>
      <w:pPr>
        <w:spacing w:line="400" w:lineRule="exact"/>
        <w:jc w:val="center"/>
        <w:rPr>
          <w:rFonts w:hint="eastAsia" w:ascii="仿宋" w:hAnsi="仿宋" w:eastAsia="仿宋" w:cs="仿宋"/>
          <w:b/>
          <w:spacing w:val="-20"/>
          <w:sz w:val="40"/>
        </w:rPr>
      </w:pPr>
    </w:p>
    <w:p>
      <w:pPr>
        <w:spacing w:line="580" w:lineRule="auto"/>
        <w:jc w:val="center"/>
        <w:rPr>
          <w:rFonts w:hint="eastAsia" w:ascii="仿宋" w:hAnsi="仿宋" w:eastAsia="仿宋" w:cs="仿宋"/>
          <w:b/>
          <w:spacing w:val="-20"/>
          <w:sz w:val="40"/>
          <w:lang w:eastAsia="zh-CN"/>
        </w:rPr>
      </w:pPr>
      <w:r>
        <w:rPr>
          <w:rFonts w:hint="eastAsia" w:ascii="仿宋" w:hAnsi="仿宋" w:eastAsia="仿宋" w:cs="仿宋"/>
          <w:b/>
          <w:spacing w:val="-20"/>
          <w:sz w:val="40"/>
        </w:rPr>
        <w:t>巨鹿县</w:t>
      </w:r>
      <w:r>
        <w:rPr>
          <w:rFonts w:hint="eastAsia" w:ascii="仿宋" w:hAnsi="仿宋" w:eastAsia="仿宋" w:cs="仿宋"/>
          <w:b/>
          <w:spacing w:val="-20"/>
          <w:sz w:val="40"/>
          <w:lang w:eastAsia="zh-CN"/>
        </w:rPr>
        <w:t>市场监督管理局</w:t>
      </w:r>
    </w:p>
    <w:p>
      <w:pPr>
        <w:spacing w:line="580" w:lineRule="auto"/>
        <w:jc w:val="center"/>
        <w:rPr>
          <w:rFonts w:hint="eastAsia" w:ascii="仿宋" w:hAnsi="仿宋" w:eastAsia="仿宋" w:cs="仿宋"/>
          <w:b/>
          <w:sz w:val="40"/>
        </w:rPr>
      </w:pPr>
      <w:r>
        <w:rPr>
          <w:rFonts w:hint="eastAsia" w:ascii="仿宋" w:hAnsi="仿宋" w:eastAsia="仿宋" w:cs="仿宋"/>
          <w:b/>
          <w:spacing w:val="-20"/>
          <w:sz w:val="40"/>
          <w:lang w:eastAsia="zh-CN"/>
        </w:rPr>
        <w:t>人员经费补助</w:t>
      </w:r>
      <w:r>
        <w:rPr>
          <w:rFonts w:hint="eastAsia" w:ascii="仿宋" w:hAnsi="仿宋" w:eastAsia="仿宋" w:cs="仿宋"/>
          <w:b/>
          <w:sz w:val="40"/>
        </w:rPr>
        <w:t>项目重点自评绩效报告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spacing w:line="760" w:lineRule="auto"/>
        <w:ind w:firstLine="655" w:firstLineChars="234"/>
        <w:rPr>
          <w:rFonts w:hint="eastAsia" w:ascii="仿宋" w:hAnsi="仿宋" w:eastAsia="仿宋" w:cs="仿宋"/>
          <w:sz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u w:val="single"/>
        </w:rPr>
        <w:t xml:space="preserve">项 目 名 称：         </w:t>
      </w:r>
      <w:r>
        <w:rPr>
          <w:rFonts w:hint="eastAsia" w:ascii="仿宋" w:hAnsi="仿宋" w:eastAsia="仿宋" w:cs="仿宋"/>
          <w:sz w:val="28"/>
          <w:u w:val="single"/>
          <w:lang w:eastAsia="zh-CN"/>
        </w:rPr>
        <w:t>人员经费补助</w:t>
      </w:r>
      <w:r>
        <w:rPr>
          <w:rFonts w:hint="eastAsia" w:ascii="仿宋" w:hAnsi="仿宋" w:eastAsia="仿宋" w:cs="仿宋"/>
          <w:sz w:val="28"/>
          <w:u w:val="single"/>
        </w:rPr>
        <w:t>项目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 xml:space="preserve">                  </w:t>
      </w:r>
    </w:p>
    <w:p>
      <w:pPr>
        <w:spacing w:line="760" w:lineRule="auto"/>
        <w:ind w:firstLine="655" w:firstLineChars="234"/>
        <w:rPr>
          <w:rFonts w:hint="eastAsia" w:ascii="仿宋" w:hAnsi="仿宋" w:eastAsia="仿宋" w:cs="仿宋"/>
          <w:sz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u w:val="single"/>
        </w:rPr>
        <w:t xml:space="preserve">项目实施单位：  </w:t>
      </w:r>
      <w:r>
        <w:rPr>
          <w:rFonts w:hint="eastAsia" w:ascii="仿宋" w:hAnsi="仿宋" w:eastAsia="仿宋" w:cs="仿宋"/>
          <w:sz w:val="28"/>
          <w:u w:val="single"/>
          <w:lang w:eastAsia="zh-CN"/>
        </w:rPr>
        <w:t>巨鹿县市场监督管理局</w:t>
      </w:r>
      <w:r>
        <w:rPr>
          <w:rFonts w:hint="eastAsia" w:ascii="仿宋" w:hAnsi="仿宋" w:eastAsia="仿宋" w:cs="仿宋"/>
          <w:sz w:val="28"/>
          <w:u w:val="single"/>
        </w:rPr>
        <w:t>项目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 xml:space="preserve">            </w:t>
      </w:r>
    </w:p>
    <w:p>
      <w:pPr>
        <w:spacing w:line="760" w:lineRule="auto"/>
        <w:ind w:firstLine="655" w:firstLineChars="234"/>
        <w:rPr>
          <w:rFonts w:hint="eastAsia" w:ascii="仿宋" w:hAnsi="仿宋" w:eastAsia="仿宋" w:cs="仿宋"/>
          <w:sz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u w:val="single"/>
        </w:rPr>
        <w:t xml:space="preserve">总金额：            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>50万</w:t>
      </w:r>
      <w:r>
        <w:rPr>
          <w:rFonts w:hint="eastAsia" w:ascii="仿宋" w:hAnsi="仿宋" w:eastAsia="仿宋" w:cs="仿宋"/>
          <w:sz w:val="28"/>
          <w:u w:val="single"/>
        </w:rPr>
        <w:t>元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 xml:space="preserve">                           </w:t>
      </w:r>
    </w:p>
    <w:p>
      <w:pPr>
        <w:spacing w:line="760" w:lineRule="auto"/>
        <w:ind w:firstLine="655" w:firstLineChars="234"/>
        <w:rPr>
          <w:rFonts w:hint="eastAsia" w:ascii="仿宋" w:hAnsi="仿宋" w:eastAsia="仿宋" w:cs="仿宋"/>
          <w:sz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u w:val="single"/>
        </w:rPr>
        <w:t>评 价 年 度：            202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u w:val="single"/>
        </w:rPr>
        <w:t>年度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 xml:space="preserve">                   </w:t>
      </w:r>
    </w:p>
    <w:p>
      <w:pPr>
        <w:spacing w:line="760" w:lineRule="auto"/>
        <w:ind w:firstLine="655" w:firstLineChars="234"/>
        <w:rPr>
          <w:rFonts w:hint="eastAsia" w:ascii="仿宋" w:hAnsi="仿宋" w:eastAsia="仿宋" w:cs="仿宋"/>
          <w:sz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u w:val="single"/>
        </w:rPr>
        <w:t xml:space="preserve">评价组组长：            </w:t>
      </w:r>
      <w:r>
        <w:rPr>
          <w:rFonts w:hint="eastAsia" w:ascii="仿宋" w:hAnsi="仿宋" w:eastAsia="仿宋" w:cs="仿宋"/>
          <w:sz w:val="28"/>
          <w:u w:val="single"/>
          <w:lang w:eastAsia="zh-CN"/>
        </w:rPr>
        <w:t>郭建业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 xml:space="preserve">   </w:t>
      </w:r>
    </w:p>
    <w:p>
      <w:pPr>
        <w:spacing w:line="760" w:lineRule="auto"/>
        <w:ind w:firstLine="655" w:firstLineChars="234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 w:val="28"/>
          <w:u w:val="single"/>
        </w:rPr>
        <w:t xml:space="preserve">评价组成员：          </w:t>
      </w:r>
      <w:r>
        <w:rPr>
          <w:rFonts w:hint="eastAsia" w:ascii="仿宋" w:hAnsi="仿宋" w:eastAsia="仿宋" w:cs="仿宋"/>
          <w:sz w:val="28"/>
          <w:u w:val="single"/>
          <w:lang w:eastAsia="zh-CN"/>
        </w:rPr>
        <w:t>李丽、李宏霞、杨秋芳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u w:val="single"/>
          <w:lang w:val="en-US" w:eastAsia="zh-CN"/>
        </w:rPr>
        <w:t xml:space="preserve">    </w:t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spacing w:line="580" w:lineRule="auto"/>
        <w:ind w:firstLine="643"/>
        <w:rPr>
          <w:rFonts w:hint="eastAsia"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一、项目概况</w:t>
      </w: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（一）项目单位基本情况</w:t>
      </w: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eastAsia="zh-CN"/>
        </w:rPr>
        <w:t>项目单位为巨鹿县市场监督管理局，位于巨鹿县城新华南街</w:t>
      </w:r>
      <w:r>
        <w:rPr>
          <w:rFonts w:hint="eastAsia" w:ascii="仿宋" w:hAnsi="仿宋" w:eastAsia="仿宋" w:cs="仿宋"/>
          <w:sz w:val="32"/>
          <w:lang w:val="en-US" w:eastAsia="zh-CN"/>
        </w:rPr>
        <w:t>39号，为行政单位，单位职责为：</w:t>
      </w:r>
    </w:p>
    <w:p>
      <w:pPr>
        <w:pStyle w:val="6"/>
        <w:shd w:val="clear" w:color="auto" w:fill="auto"/>
        <w:tabs>
          <w:tab w:val="left" w:pos="1221"/>
        </w:tabs>
        <w:spacing w:before="0" w:beforeLines="0" w:line="360" w:lineRule="auto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全县市场综合监督管理。制定全县市场监督管理有关政策、标准，组织实施质量强县战略、食品安全战略、标准化战略、知识产权战略，拟订并组织实施有关规划，规范和维护市场秩序，营造诚实守信、公平竞争的市场环境。</w:t>
      </w:r>
    </w:p>
    <w:p>
      <w:pPr>
        <w:pStyle w:val="6"/>
        <w:shd w:val="clear" w:color="auto" w:fill="auto"/>
        <w:tabs>
          <w:tab w:val="left" w:pos="122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2、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负责组织和指导全县市场监管综合执法工作。指导全县市场监管综合执法队伍整合和建设，推动实行统一的市场监管。组织查处重大违法案件。规范市场监管行政执法行为。</w:t>
      </w:r>
    </w:p>
    <w:p>
      <w:pPr>
        <w:pStyle w:val="6"/>
        <w:shd w:val="clear" w:color="auto" w:fill="auto"/>
        <w:tabs>
          <w:tab w:val="left" w:pos="1215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3、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反垄断统一执法。组织推进竞争政策实施，指导实施公平竞争审查制度。依职责负责垄断协议、滥用市场支配地位、经营者违法实施集中和滥用行政权力排除、限制竞争等反垄断执法相关工作。指导企业在国外的反垄断应诉工作。</w:t>
      </w:r>
    </w:p>
    <w:p>
      <w:pPr>
        <w:pStyle w:val="6"/>
        <w:shd w:val="clear" w:color="auto" w:fill="auto"/>
        <w:tabs>
          <w:tab w:val="left" w:pos="1201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4、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监督管理市场秩序。依法监督管理全县市场交易、网络商品交易及有关服务的行为。组织指导查处价格收费违法违规、不正当竞争、违法直销、传销、侵犯商标专利知识产权和制售假冒伪劣行为。指导全县广告业发展，监督管理广告活动。指导查处无照生产经营和相关无证生产经营行为。指导县消费者协会开展消费维权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5、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负责全县宏观质量管理。拟订并实施全县质量发展的 制度措施。统筹全县质量基础设施建设与应用，会同有关部门组织实施重大工程设备质量监理制度，组织重大质量事故调查，协助国家、省、市组织实施缺陷产品召回制度，监督管理产品防伪工作。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6、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负责全县产品质量安全监督管理。承担县级产品质量安全风险监控、监督抽查工作。组织实施质量分级制度、质量安全追溯制度。会同有关部门实施工业产品许可管理。负责纤维质量监督工作。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7、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负责全县特种设备安全监督管理。综合管理特种设备安全监察、监督工作，监督检查高耗能特种设备节能标准和锅炉环境保护标准的执行情况。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8、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食品安全监督管理综合协调。组织制定全县食品安全重大政策并组织实施。推动健全食品安全地方党政同责和跨部门协调联动机制。负责食品安全应急体系建设，组织指导全县重大食品安全事件应急处置和调查处理工作。建立健全食品安全信息统一公布和重要信息直报制度。承担巨鹿县食品安全委员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日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常工作。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9、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负责食品安全监督管理。建立覆盖食品生产、流通、消费全过程的监督检查制度和隐患排查治理机制并组织实施，防范区域性、系统性食品安全风险。推动建立食品生产经营者落实 主体责任的机制，健全食品安全追溯体系。参与食品安全风险监测，组织开展食品安全监督抽检、核查处置和风险预警、风险交流工作。按职责分工组织实施特殊食品监督管理。组织指导重大 活动食品安全保障。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10、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负责药品（含中药、民族药，下同）、医疗器械和 化妆品安全监督管理。贯彻执行国家、省、市药品、医疗器械和化妆品法律法规以及鼓励药品、医疗器械和化妆品新技术新产品的管理与服务政策。拟订全县监督管理政策规划，组织起草相关措施并组织实施。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11、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负责监督实施国家药品、医疗器械、化妆品标准和中药材地方标准，组织落实分类管理制度。配合实施国家基本药物制度。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12、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负责药品、医疗器械和化妆品质量管理。依职责监督实施生产质量管理规范，监督和指导实施经营、使用质量管理规范。依职责组织实施中药材生产质量管理规范、中药饮片炮制规范和中药品种保护制度。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13、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 xml:space="preserve"> 负责药品、医疗器械和化妆品上市后风险管理。建立健全全县药品不良反应、医疗器械不良事件、化妆品不良反应 和药物滥用监测体系，并开展监测、评价和处置工作。依法承担药品、医疗器械和化妆品安全应急管理工作。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14、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负责组织指导药品、医疗器械和化妆品监督检查。贯彻落实国家、省、市检查制度，依法组织指导查处药品零售、医疗器械经营、化妆品经营和药品、医疗器械使用环节的违法行为，规范行政执法行为。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en-US"/>
        </w:rPr>
        <w:t>15、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负责统一管理全县计量工作。推行法定计量单位和 国家计量制度，管理计量器具及量值传递工作。规范、监督商品量和市场计量行为。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en-US"/>
        </w:rPr>
        <w:t>16、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负责统一管理全县标准化工作。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贯彻执行市级地方标准工作。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宣传贯彻强制性、推荐性国家标准和行业标准、地方标准。依法协调指导和监督团体标准、企业标准制定工作。组织开展标准化国际、区域合作和参与制定、采用国际标准工作。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en-US"/>
        </w:rPr>
        <w:t>17、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负责统一管理全县检验检测工作。指导检验检测机构整合和改革，规范检验检测市场，完善检验检测体系，指导协调检验检测行业发展。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18、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 xml:space="preserve"> 负责统一管理、监督和协调全县认证认可工作。组织贯彻实施国家统一的认证认可和合格评定监督管理制度。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19、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负责推进全县知识产权管理工作。拟订加强知识产权强县建设的政策措施和发展规划。拟订和实施强化知识产权创造、保护和运用的政策和制度。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20、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 xml:space="preserve"> 负责保护知识产权。组织起草严格保护商标、专 利、原产地地理标志、集成电路布图设计等知识产权相关政策措施并监督实施。按照国家和省、市知识产权保护体系建设方案，推动建设知识产权保护体系。负责组织指导商标、专利执法工作，依职责做好知识产权争议处理、维权援助和纠纷调处等相关工作。积极参与京津冀知识产权执法协作工作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21、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负责促进知识产权运用。拟订知识产权运用和规范交易的政策，促进知识产权转移转化。规范知识产权无形资产评估工作。制定实施知识产权中介服务发展与监管的政策措施。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22、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负责建立知识产权公共服务体系。建设便企利民、互联互通的全县知识产权信息公共服务平台，推动商标、专利等知识产权信息的传播利用。指导辖区专利信息服务工作。组织实施原产地地理标志统一认定制度。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23、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负责全县市场监督管理科技和信息化建设、新闻 宣传、教育培训、对外交流与合作。按规定承担技术性贸易措施有关工作。负责统筹协调涉外知识产权事宜，承担知识产权对外转让相关工作。推进全县药品、医疗器械和化妆品安全监管信息化建设。负责制定药品、医疗器械和化妆品的安全科技发展规划并组织实施，推动检验检测体系、电子监管追溯体系和信息化建设。完善全县药品、医疗器械和化妆品安全信息统一公布制度和重大信息直报制度，依职责公布重大安全信息。推进诚信体系建设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en-US"/>
        </w:rPr>
        <w:t>24、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负责指导各乡镇、经济开发区管委会市场监督管理工作。推动落实企业主体责任，组织实施食品、药品、医疗器械和化妆品等安全考核。</w:t>
      </w:r>
    </w:p>
    <w:p>
      <w:pPr>
        <w:pStyle w:val="6"/>
        <w:shd w:val="clear" w:color="auto" w:fill="auto"/>
        <w:tabs>
          <w:tab w:val="left" w:pos="1210"/>
        </w:tabs>
        <w:spacing w:before="0" w:beforeLines="0" w:line="360" w:lineRule="auto"/>
        <w:jc w:val="both"/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bidi="zh-CN"/>
        </w:rPr>
        <w:t>25、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zh-CN" w:bidi="zh-CN"/>
        </w:rPr>
        <w:t>完成县委、县政府交办的其他任务。</w:t>
      </w: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（二）项目基本情况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项目名称：人员经费补助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主要内容：该项目主要用于市场监管工作中非财政开支人员工资、保险等。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主要解决的问题：通过实施该项目可以弥补我单位非财政开支人员经费不足，有利于增强非财政人员工作积极性，保障市场监管队伍稳定，保障市场监管工作的顺利开展。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项目实施依据：我单位根据经费的需求情况拟定了《巨鹿县市场监督管理局关于申请人员经费的报告》并经县政府领导审批，并列入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2023年追加预算。</w:t>
      </w:r>
    </w:p>
    <w:p>
      <w:pPr>
        <w:widowControl/>
        <w:ind w:left="319" w:leftChars="152"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资金分配情况：该项目预算资金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50万元，其中非财政开支人员工资及保险等50万元。</w:t>
      </w:r>
    </w:p>
    <w:p>
      <w:pPr>
        <w:widowControl/>
        <w:ind w:left="281" w:leftChars="134" w:firstLine="640" w:firstLineChars="200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通过实施该项目可以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弥补我单位非财政开支人员经费不足，有利于增强非财政人员工作积极性，保障市场监管队伍稳定，保障市场监管工作的顺利开展。</w:t>
      </w:r>
    </w:p>
    <w:p>
      <w:pPr>
        <w:spacing w:line="580" w:lineRule="auto"/>
        <w:ind w:firstLine="643"/>
        <w:rPr>
          <w:rFonts w:hint="eastAsia"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二、项目实施情况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sz w:val="32"/>
          <w:shd w:val="clear" w:color="auto" w:fill="auto"/>
          <w:lang w:val="en-US" w:eastAsia="zh-CN"/>
        </w:rPr>
        <w:t xml:space="preserve">人员经费补助项目资金50万元，于2023年5月提出申请，于2022年7月拨付到位，2023年8月底支出完毕，其中用于非财政人员工资及保险等50万元。 </w:t>
      </w:r>
    </w:p>
    <w:p>
      <w:pPr>
        <w:spacing w:line="580" w:lineRule="auto"/>
        <w:ind w:firstLine="643"/>
        <w:rPr>
          <w:rFonts w:hint="eastAsia"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三、绩效评价工作情况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textAlignment w:val="auto"/>
        <w:rPr>
          <w:rFonts w:hint="eastAsia" w:ascii="仿宋" w:hAnsi="仿宋" w:eastAsia="仿宋" w:cs="仿宋"/>
          <w:snapToGrid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sz w:val="32"/>
        </w:rPr>
        <w:t>（一）评价目的</w:t>
      </w:r>
      <w:r>
        <w:rPr>
          <w:rFonts w:hint="eastAsia" w:ascii="仿宋" w:hAnsi="仿宋" w:eastAsia="仿宋" w:cs="仿宋"/>
          <w:sz w:val="32"/>
          <w:lang w:eastAsia="zh-CN"/>
        </w:rPr>
        <w:t>：</w:t>
      </w:r>
      <w:r>
        <w:rPr>
          <w:rFonts w:hint="eastAsia" w:ascii="仿宋" w:hAnsi="仿宋" w:eastAsia="仿宋" w:cs="仿宋"/>
          <w:snapToGrid/>
          <w:kern w:val="2"/>
          <w:sz w:val="32"/>
          <w:szCs w:val="22"/>
          <w:lang w:val="en-US" w:eastAsia="zh-CN" w:bidi="ar-SA"/>
        </w:rPr>
        <w:t>加强部门支出管理，提高预算资金使用绩效。</w:t>
      </w: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（二）评价指标</w:t>
      </w:r>
      <w:r>
        <w:rPr>
          <w:rFonts w:hint="eastAsia" w:ascii="仿宋" w:hAnsi="仿宋" w:eastAsia="仿宋" w:cs="仿宋"/>
          <w:sz w:val="32"/>
          <w:lang w:eastAsia="zh-CN"/>
        </w:rPr>
        <w:t>：</w:t>
      </w:r>
    </w:p>
    <w:tbl>
      <w:tblPr>
        <w:tblStyle w:val="4"/>
        <w:tblW w:w="8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5"/>
        <w:gridCol w:w="1830"/>
        <w:gridCol w:w="2145"/>
        <w:gridCol w:w="1035"/>
        <w:gridCol w:w="690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5" w:type="dxa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83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领取工资人数</w:t>
            </w:r>
          </w:p>
        </w:tc>
        <w:tc>
          <w:tcPr>
            <w:tcW w:w="103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6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5" w:type="dxa"/>
            <w:vMerge w:val="continue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工资发放率</w:t>
            </w:r>
          </w:p>
        </w:tc>
        <w:tc>
          <w:tcPr>
            <w:tcW w:w="103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6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5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5" w:type="dxa"/>
            <w:vMerge w:val="continue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1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养老保险等缴纳时限</w:t>
            </w:r>
          </w:p>
        </w:tc>
        <w:tc>
          <w:tcPr>
            <w:tcW w:w="103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6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每月25日前缴纳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5" w:type="dxa"/>
            <w:vMerge w:val="continue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1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人员经费补助金额</w:t>
            </w:r>
          </w:p>
        </w:tc>
        <w:tc>
          <w:tcPr>
            <w:tcW w:w="103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=</w:t>
            </w:r>
          </w:p>
        </w:tc>
        <w:tc>
          <w:tcPr>
            <w:tcW w:w="6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5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83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缴纳滞纳金次数</w:t>
            </w:r>
          </w:p>
        </w:tc>
        <w:tc>
          <w:tcPr>
            <w:tcW w:w="103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  <w:t>≤</w:t>
            </w:r>
          </w:p>
        </w:tc>
        <w:tc>
          <w:tcPr>
            <w:tcW w:w="6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  <w:lang w:eastAsia="zh-CN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00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3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1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服务对象满意度</w:t>
            </w:r>
          </w:p>
        </w:tc>
        <w:tc>
          <w:tcPr>
            <w:tcW w:w="103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69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54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</w:tr>
    </w:tbl>
    <w:p>
      <w:pPr>
        <w:spacing w:line="580" w:lineRule="auto"/>
        <w:ind w:firstLine="640"/>
        <w:rPr>
          <w:rFonts w:hint="eastAsia" w:ascii="仿宋" w:hAnsi="仿宋" w:eastAsia="仿宋" w:cs="仿宋"/>
          <w:sz w:val="32"/>
          <w:lang w:eastAsia="zh-CN"/>
        </w:rPr>
      </w:pP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（三）评价依据</w:t>
      </w:r>
      <w:r>
        <w:rPr>
          <w:rFonts w:hint="eastAsia" w:ascii="仿宋" w:hAnsi="仿宋" w:eastAsia="仿宋" w:cs="仿宋"/>
          <w:sz w:val="32"/>
          <w:lang w:eastAsia="zh-CN"/>
        </w:rPr>
        <w:t>：根据县政府领导批示及工作安排</w:t>
      </w: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（四）评价的主要方法及等级设定</w:t>
      </w:r>
    </w:p>
    <w:p>
      <w:pPr>
        <w:pStyle w:val="3"/>
        <w:numPr>
          <w:ilvl w:val="0"/>
          <w:numId w:val="1"/>
        </w:numPr>
        <w:ind w:left="640" w:leftChars="0"/>
        <w:rPr>
          <w:rFonts w:hint="eastAsia" w:ascii="仿宋" w:hAnsi="仿宋" w:eastAsia="仿宋" w:cs="仿宋"/>
          <w:snapToGrid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22"/>
          <w:lang w:val="en-US" w:eastAsia="zh-CN" w:bidi="ar-SA"/>
        </w:rPr>
        <w:t>主要方法：按照绩效评价规定要求成立评价小组，组织实施和分析评价，并根据绩效自评材料进行分析，形成评价结论。</w:t>
      </w:r>
    </w:p>
    <w:p>
      <w:pPr>
        <w:pStyle w:val="3"/>
        <w:numPr>
          <w:ilvl w:val="0"/>
          <w:numId w:val="1"/>
        </w:numPr>
        <w:ind w:left="640" w:leftChars="0"/>
        <w:rPr>
          <w:rFonts w:hint="eastAsia" w:ascii="仿宋" w:hAnsi="仿宋" w:eastAsia="仿宋" w:cs="仿宋"/>
          <w:snapToGrid/>
          <w:kern w:val="2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snapToGrid/>
          <w:kern w:val="2"/>
          <w:sz w:val="32"/>
          <w:szCs w:val="22"/>
          <w:lang w:val="en-US" w:eastAsia="zh-CN" w:bidi="ar-SA"/>
        </w:rPr>
        <w:t>等级设定：设定优、良、中、差四个等级，对应各项指标评价标准，根据实际完成值赋予相应分数，其中优、良、中、差对应的分值区间一般为90分以上、80-90分、60-80分、60分以下。</w:t>
      </w:r>
    </w:p>
    <w:p>
      <w:pPr>
        <w:spacing w:line="580" w:lineRule="auto"/>
        <w:ind w:firstLine="640"/>
        <w:rPr>
          <w:rFonts w:hint="eastAsia" w:ascii="仿宋" w:hAnsi="仿宋" w:eastAsia="仿宋" w:cs="仿宋"/>
          <w:sz w:val="32"/>
        </w:rPr>
      </w:pPr>
    </w:p>
    <w:p>
      <w:pPr>
        <w:spacing w:line="580" w:lineRule="auto"/>
        <w:ind w:firstLine="640"/>
        <w:rPr>
          <w:rFonts w:hint="eastAsia" w:ascii="仿宋" w:hAnsi="仿宋" w:eastAsia="仿宋" w:cs="仿宋"/>
          <w:b/>
          <w:sz w:val="32"/>
        </w:rPr>
      </w:pPr>
      <w:r>
        <w:rPr>
          <w:rFonts w:hint="eastAsia" w:ascii="仿宋" w:hAnsi="仿宋" w:eastAsia="仿宋" w:cs="仿宋"/>
          <w:b/>
          <w:sz w:val="32"/>
        </w:rPr>
        <w:t>四、绩效评价指标体系及得分情况</w:t>
      </w:r>
    </w:p>
    <w:p>
      <w:pPr>
        <w:spacing w:line="580" w:lineRule="auto"/>
        <w:jc w:val="center"/>
        <w:rPr>
          <w:rFonts w:hint="eastAsia" w:ascii="仿宋" w:hAnsi="仿宋" w:eastAsia="仿宋" w:cs="仿宋"/>
          <w:b/>
          <w:color w:val="000000"/>
          <w:sz w:val="40"/>
          <w:szCs w:val="40"/>
          <w:u w:val="single"/>
        </w:rPr>
      </w:pPr>
      <w:r>
        <w:rPr>
          <w:rFonts w:hint="eastAsia" w:ascii="仿宋" w:hAnsi="仿宋" w:eastAsia="仿宋" w:cs="仿宋"/>
          <w:b/>
          <w:color w:val="000000"/>
          <w:sz w:val="40"/>
          <w:szCs w:val="40"/>
          <w:u w:val="single"/>
          <w:lang w:eastAsia="zh-CN"/>
        </w:rPr>
        <w:t>人员经费补助</w:t>
      </w:r>
      <w:r>
        <w:rPr>
          <w:rFonts w:hint="eastAsia" w:ascii="仿宋" w:hAnsi="仿宋" w:eastAsia="仿宋" w:cs="仿宋"/>
          <w:b/>
          <w:color w:val="000000"/>
          <w:sz w:val="40"/>
          <w:szCs w:val="40"/>
          <w:u w:val="single"/>
        </w:rPr>
        <w:t>项目财政重点绩效评价指标表</w:t>
      </w:r>
    </w:p>
    <w:p>
      <w:pPr>
        <w:spacing w:line="400" w:lineRule="exact"/>
        <w:jc w:val="center"/>
        <w:rPr>
          <w:rFonts w:hint="eastAsia" w:ascii="仿宋" w:hAnsi="仿宋" w:eastAsia="仿宋" w:cs="仿宋"/>
          <w:b/>
          <w:sz w:val="40"/>
          <w:szCs w:val="40"/>
        </w:rPr>
      </w:pPr>
    </w:p>
    <w:tbl>
      <w:tblPr>
        <w:tblStyle w:val="4"/>
        <w:tblW w:w="8930" w:type="dxa"/>
        <w:tblInd w:w="2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58"/>
        <w:gridCol w:w="674"/>
        <w:gridCol w:w="2083"/>
        <w:gridCol w:w="545"/>
        <w:gridCol w:w="3972"/>
        <w:gridCol w:w="69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5" w:hRule="atLeast"/>
        </w:trPr>
        <w:tc>
          <w:tcPr>
            <w:tcW w:w="95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指标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二级指标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三级指标</w:t>
            </w:r>
          </w:p>
        </w:tc>
        <w:tc>
          <w:tcPr>
            <w:tcW w:w="545" w:type="dxa"/>
            <w:vMerge w:val="restart"/>
            <w:tcBorders>
              <w:top w:val="single" w:color="auto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分值</w:t>
            </w:r>
          </w:p>
        </w:tc>
        <w:tc>
          <w:tcPr>
            <w:tcW w:w="397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指标说明</w:t>
            </w:r>
          </w:p>
        </w:tc>
        <w:tc>
          <w:tcPr>
            <w:tcW w:w="69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名称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名称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u w:val="single"/>
              </w:rPr>
              <w:t>名称</w:t>
            </w:r>
          </w:p>
        </w:tc>
        <w:tc>
          <w:tcPr>
            <w:tcW w:w="545" w:type="dxa"/>
            <w:vMerge w:val="continue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3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“工作活动”设置（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项目立项情况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是否符合市政府经济和社会总体发展规划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5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有市政府相关政策、规划、任务等文件得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分；无不得分。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4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项目活动与职责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相关性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工作活动与部门职责、工作规划和重点工作相关，工作活动项下确定的预算项目合理，与工作活动密切相关，工作活动和项目预算安排合理，得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分；否则不得分。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7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绩效自评情况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项目设立绩效目标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合理性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①是否将项目绩效目标细化分解为具体的绩效指标；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②是否通过清晰、可衡量的指标值予以体现；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③是否与项目年度任务数或计划数相对应；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④是否与预算确定的项目投资额或资金量相匹配。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缺少一项扣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2.5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分,扣完为止。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6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自评报告情况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5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是否有绩效评价报告，报告是否依据充分、内容真实完整；数据准确、分析透彻。每存在一项问题扣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58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“工作活动”管理（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资金管理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预算调整率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预算调整率=（预算调整数/预算数）×100%。预算调整率每大于1%扣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0.1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9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auto" w:fill="auto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资金使用合规性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项目资金使用是否符合国家财经法规及相关的财务管理制度规定，资金支出程序是否规范,报账手续是否齐全。每存在一项不合规问题扣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0.1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5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会计核算规范性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会计核算是否符合《会计法》、《政府会计制度》、《会计基础工作规范》等法律法规和相关制度规定。每存在一项不合规问题扣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0.1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0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项目管理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项目责任机制是否健全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是否建立责任机制，项目管理和责任落实到有关人。每存在一项问题扣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0.1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1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管理制度健全性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制定管理制度和措施（包括财务制度）是否明确、清晰、具有可操作性，能否保障工作活动顺利实施。每缺少一项制度扣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0.1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" w:hRule="atLeast"/>
        </w:trPr>
        <w:tc>
          <w:tcPr>
            <w:tcW w:w="9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“工作活动”产出（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数量指标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eastAsia="zh-CN"/>
              </w:rPr>
              <w:t>领取工资人数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总金额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是否达到指标值，达不到分级扣分，扣完为止。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质量指标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eastAsia="zh-CN"/>
              </w:rPr>
              <w:t>工资发放率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</w:p>
          <w:p>
            <w:pPr>
              <w:tabs>
                <w:tab w:val="left" w:pos="606"/>
              </w:tabs>
              <w:bidi w:val="0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满意率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是否达到指标值，达不到分级扣分，扣完为止。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atLeast"/>
        </w:trPr>
        <w:tc>
          <w:tcPr>
            <w:tcW w:w="9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时效指标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eastAsia="zh-CN"/>
              </w:rPr>
              <w:t>养老保险等缴纳时限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sz w:val="22"/>
              </w:rPr>
              <w:t>拨付及时情况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是否达到指标值，达不到分级扣分，扣完为止。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5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“工作活动”效果（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分）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0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满意度</w:t>
            </w: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  <w:lang w:eastAsia="zh-CN"/>
              </w:rPr>
              <w:t>人员满意度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2"/>
                <w:lang w:val="en-US" w:eastAsia="zh-CN" w:bidi="ar-SA"/>
              </w:rPr>
              <w:t>满意率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是否达到指标值，达不到分级扣分，扣完为止。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9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ind w:firstLine="220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合计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2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u w:val="single"/>
              </w:rPr>
              <w:t>100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left"/>
              <w:rPr>
                <w:rFonts w:hint="eastAsia" w:ascii="仿宋" w:hAnsi="仿宋" w:eastAsia="仿宋" w:cs="仿宋"/>
                <w:sz w:val="22"/>
              </w:rPr>
            </w:pP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lang w:val="en-US" w:eastAsia="zh-CN"/>
              </w:rPr>
              <w:t>95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sectPr>
      <w:pgSz w:w="11906" w:h="16838"/>
      <w:pgMar w:top="1797" w:right="1474" w:bottom="174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949F8"/>
    <w:multiLevelType w:val="singleLevel"/>
    <w:tmpl w:val="423949F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2B48"/>
    <w:rsid w:val="00050449"/>
    <w:rsid w:val="00261376"/>
    <w:rsid w:val="003976B8"/>
    <w:rsid w:val="003F21B7"/>
    <w:rsid w:val="003F78DF"/>
    <w:rsid w:val="00457A38"/>
    <w:rsid w:val="0075675E"/>
    <w:rsid w:val="0091038B"/>
    <w:rsid w:val="00BC46B3"/>
    <w:rsid w:val="00C70768"/>
    <w:rsid w:val="00D32B48"/>
    <w:rsid w:val="00DA418C"/>
    <w:rsid w:val="05D90CCE"/>
    <w:rsid w:val="08167056"/>
    <w:rsid w:val="0C5906EC"/>
    <w:rsid w:val="12D905D0"/>
    <w:rsid w:val="148802D4"/>
    <w:rsid w:val="15EA25B5"/>
    <w:rsid w:val="19503A7E"/>
    <w:rsid w:val="1BF353F3"/>
    <w:rsid w:val="1CB55BA9"/>
    <w:rsid w:val="1F104A05"/>
    <w:rsid w:val="2276703C"/>
    <w:rsid w:val="23AA45E7"/>
    <w:rsid w:val="2538548E"/>
    <w:rsid w:val="260510AB"/>
    <w:rsid w:val="26CB2CD3"/>
    <w:rsid w:val="277F73C7"/>
    <w:rsid w:val="2BAD08B5"/>
    <w:rsid w:val="2CFC168E"/>
    <w:rsid w:val="331D154E"/>
    <w:rsid w:val="334D705C"/>
    <w:rsid w:val="3A6513C3"/>
    <w:rsid w:val="3BE91D19"/>
    <w:rsid w:val="3CBD735B"/>
    <w:rsid w:val="3CDB5EBE"/>
    <w:rsid w:val="3E0C23BB"/>
    <w:rsid w:val="3F7924A8"/>
    <w:rsid w:val="3FC7445D"/>
    <w:rsid w:val="427454D0"/>
    <w:rsid w:val="45DD3984"/>
    <w:rsid w:val="47F66BBF"/>
    <w:rsid w:val="483D4205"/>
    <w:rsid w:val="4A682CFD"/>
    <w:rsid w:val="4B47730F"/>
    <w:rsid w:val="4CF0185F"/>
    <w:rsid w:val="4E0A11BB"/>
    <w:rsid w:val="5033570A"/>
    <w:rsid w:val="532A1FE9"/>
    <w:rsid w:val="54733EE5"/>
    <w:rsid w:val="56FC7C0D"/>
    <w:rsid w:val="5CE10B24"/>
    <w:rsid w:val="617346D0"/>
    <w:rsid w:val="63B678CD"/>
    <w:rsid w:val="65B00DCF"/>
    <w:rsid w:val="668608FC"/>
    <w:rsid w:val="66AC7C50"/>
    <w:rsid w:val="688708AF"/>
    <w:rsid w:val="69473517"/>
    <w:rsid w:val="6A7B7BC0"/>
    <w:rsid w:val="77773B3D"/>
    <w:rsid w:val="7A22763A"/>
    <w:rsid w:val="7AEC7256"/>
    <w:rsid w:val="7CE30B1A"/>
    <w:rsid w:val="7EB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/>
    </w:pPr>
  </w:style>
  <w:style w:type="paragraph" w:styleId="3">
    <w:name w:val="Body Text First Indent 2"/>
    <w:basedOn w:val="2"/>
    <w:unhideWhenUsed/>
    <w:qFormat/>
    <w:uiPriority w:val="99"/>
    <w:pPr>
      <w:spacing w:line="240" w:lineRule="auto"/>
      <w:ind w:firstLine="420" w:firstLineChars="200"/>
      <w:jc w:val="both"/>
    </w:pPr>
    <w:rPr>
      <w:rFonts w:ascii="Calibri" w:hAnsi="Calibri"/>
      <w:snapToGrid/>
      <w:kern w:val="2"/>
      <w:sz w:val="21"/>
      <w:szCs w:val="24"/>
    </w:rPr>
  </w:style>
  <w:style w:type="paragraph" w:customStyle="1" w:styleId="6">
    <w:name w:val="Body text|2"/>
    <w:basedOn w:val="1"/>
    <w:qFormat/>
    <w:uiPriority w:val="0"/>
    <w:pPr>
      <w:shd w:val="clear" w:color="auto" w:fill="FFFFFF"/>
      <w:spacing w:before="400" w:beforeLines="0" w:line="418" w:lineRule="exact"/>
      <w:ind w:firstLine="580"/>
      <w:jc w:val="distribute"/>
    </w:pPr>
    <w:rPr>
      <w:rFonts w:ascii="PMingLiU" w:hAnsi="PMingLiU" w:eastAsia="PMingLiU" w:cs="PMingLiU"/>
      <w:sz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209</Words>
  <Characters>1197</Characters>
  <Lines>9</Lines>
  <Paragraphs>2</Paragraphs>
  <TotalTime>4</TotalTime>
  <ScaleCrop>false</ScaleCrop>
  <LinksUpToDate>false</LinksUpToDate>
  <CharactersWithSpaces>1404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2023-02-21T09:42:00Z</dcterms:created>
  <dc:creator>微软用户</dc:creator>
  <cp:lastModifiedBy>Administrator</cp:lastModifiedBy>
  <dcterms:modified xsi:type="dcterms:W3CDTF">2024-05-07T08:04:27Z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4AA2DE999ED741A6B0EEA5BA4D334491</vt:lpwstr>
  </property>
</Properties>
</file>